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05B05FBE"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visualization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A33BD3">
      <w:pPr>
        <w:pStyle w:val="Heading2"/>
      </w:pPr>
      <w:bookmarkStart w:id="2" w:name="X4f1f31f7c7950e90ebd64952786618cba491502"/>
      <w:r w:rsidRPr="004C519C">
        <w:lastRenderedPageBreak/>
        <w:t xml:space="preserve">Different </w:t>
      </w:r>
      <w:r w:rsidR="008B6B53" w:rsidRPr="004C519C">
        <w:t xml:space="preserve">lift </w:t>
      </w:r>
      <w:r w:rsidR="008B6B53" w:rsidRPr="004C519C">
        <w:rPr>
          <w:rFonts w:hint="eastAsia"/>
        </w:rPr>
        <w:t>patt</w:t>
      </w:r>
      <w:r w:rsidR="008B6B53" w:rsidRPr="004C519C">
        <w:t>ern</w:t>
      </w:r>
      <w:r w:rsidR="0001697F" w:rsidRPr="004C519C">
        <w:rPr>
          <w:rFonts w:hint="eastAsia"/>
        </w:rPr>
        <w:t>s</w:t>
      </w:r>
      <w:r w:rsidRPr="004C519C">
        <w:t xml:space="preserve"> of different receivers and antennas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76438E">
      <w:pPr>
        <w:pStyle w:val="MainText"/>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lang w:val="en-US"/>
        </w:rPr>
      </w:pPr>
    </w:p>
    <w:p w14:paraId="5830F115" w14:textId="7777777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Data</w:t>
      </w:r>
      <w:r w:rsidRPr="00BF1FBA">
        <w:rPr>
          <w:b w:val="0"/>
          <w:bCs/>
          <w:sz w:val="20"/>
        </w:rPr>
        <w:t>sets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CC14C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D50913">
            <w:pPr>
              <w:spacing w:line="3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D50913">
            <w:pPr>
              <w:spacing w:line="3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D50913">
            <w:pPr>
              <w:spacing w:line="300" w:lineRule="exact"/>
              <w:jc w:val="center"/>
              <w:rPr>
                <w:color w:val="000000"/>
                <w:sz w:val="20"/>
                <w:szCs w:val="20"/>
              </w:rPr>
            </w:pPr>
          </w:p>
        </w:tc>
        <w:tc>
          <w:tcPr>
            <w:tcW w:w="2231" w:type="dxa"/>
            <w:vMerge/>
            <w:vAlign w:val="center"/>
            <w:hideMark/>
          </w:tcPr>
          <w:p w14:paraId="7938840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D50913">
            <w:pPr>
              <w:spacing w:line="300" w:lineRule="exact"/>
              <w:jc w:val="center"/>
              <w:rPr>
                <w:color w:val="000000"/>
                <w:sz w:val="20"/>
                <w:szCs w:val="20"/>
              </w:rPr>
            </w:pPr>
          </w:p>
        </w:tc>
        <w:tc>
          <w:tcPr>
            <w:tcW w:w="2231" w:type="dxa"/>
            <w:vMerge/>
            <w:vAlign w:val="center"/>
            <w:hideMark/>
          </w:tcPr>
          <w:p w14:paraId="0868FDA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D50913">
            <w:pPr>
              <w:spacing w:line="300" w:lineRule="exact"/>
              <w:jc w:val="center"/>
              <w:rPr>
                <w:color w:val="000000"/>
                <w:sz w:val="20"/>
                <w:szCs w:val="20"/>
              </w:rPr>
            </w:pPr>
          </w:p>
        </w:tc>
        <w:tc>
          <w:tcPr>
            <w:tcW w:w="2231" w:type="dxa"/>
            <w:vMerge/>
            <w:vAlign w:val="center"/>
            <w:hideMark/>
          </w:tcPr>
          <w:p w14:paraId="4FEFD734"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D50913">
            <w:pPr>
              <w:spacing w:line="300" w:lineRule="exact"/>
              <w:jc w:val="center"/>
              <w:rPr>
                <w:color w:val="000000"/>
                <w:sz w:val="20"/>
                <w:szCs w:val="20"/>
              </w:rPr>
            </w:pPr>
          </w:p>
        </w:tc>
        <w:tc>
          <w:tcPr>
            <w:tcW w:w="2231" w:type="dxa"/>
            <w:vMerge/>
            <w:vAlign w:val="center"/>
            <w:hideMark/>
          </w:tcPr>
          <w:p w14:paraId="21CD660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D50913">
            <w:pPr>
              <w:spacing w:line="300" w:lineRule="exact"/>
              <w:jc w:val="center"/>
              <w:rPr>
                <w:color w:val="000000"/>
                <w:sz w:val="20"/>
                <w:szCs w:val="20"/>
              </w:rPr>
            </w:pPr>
          </w:p>
        </w:tc>
        <w:tc>
          <w:tcPr>
            <w:tcW w:w="2231" w:type="dxa"/>
            <w:vMerge/>
            <w:vAlign w:val="center"/>
            <w:hideMark/>
          </w:tcPr>
          <w:p w14:paraId="583D1B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D50913">
            <w:pPr>
              <w:spacing w:line="300" w:lineRule="exact"/>
              <w:jc w:val="center"/>
              <w:rPr>
                <w:color w:val="000000"/>
                <w:sz w:val="20"/>
                <w:szCs w:val="20"/>
              </w:rPr>
            </w:pPr>
          </w:p>
        </w:tc>
        <w:tc>
          <w:tcPr>
            <w:tcW w:w="2231" w:type="dxa"/>
            <w:vMerge/>
            <w:vAlign w:val="center"/>
            <w:hideMark/>
          </w:tcPr>
          <w:p w14:paraId="6A51A36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D50913">
            <w:pPr>
              <w:spacing w:line="300" w:lineRule="exact"/>
              <w:jc w:val="center"/>
              <w:rPr>
                <w:color w:val="000000"/>
                <w:sz w:val="20"/>
                <w:szCs w:val="20"/>
              </w:rPr>
            </w:pPr>
          </w:p>
        </w:tc>
        <w:tc>
          <w:tcPr>
            <w:tcW w:w="2231" w:type="dxa"/>
            <w:vMerge/>
            <w:vAlign w:val="center"/>
            <w:hideMark/>
          </w:tcPr>
          <w:p w14:paraId="54FCCFD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D50913">
            <w:pPr>
              <w:spacing w:line="3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D50913">
            <w:pPr>
              <w:spacing w:line="300" w:lineRule="exact"/>
              <w:jc w:val="center"/>
              <w:rPr>
                <w:color w:val="000000"/>
                <w:sz w:val="20"/>
                <w:szCs w:val="20"/>
              </w:rPr>
            </w:pPr>
          </w:p>
        </w:tc>
        <w:tc>
          <w:tcPr>
            <w:tcW w:w="2231" w:type="dxa"/>
            <w:vMerge/>
            <w:vAlign w:val="center"/>
            <w:hideMark/>
          </w:tcPr>
          <w:p w14:paraId="3ED867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D50913">
            <w:pPr>
              <w:spacing w:line="300" w:lineRule="exact"/>
              <w:jc w:val="center"/>
              <w:rPr>
                <w:color w:val="000000"/>
                <w:sz w:val="20"/>
                <w:szCs w:val="20"/>
              </w:rPr>
            </w:pPr>
          </w:p>
        </w:tc>
        <w:tc>
          <w:tcPr>
            <w:tcW w:w="2231" w:type="dxa"/>
            <w:vMerge/>
            <w:vAlign w:val="center"/>
            <w:hideMark/>
          </w:tcPr>
          <w:p w14:paraId="190F474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D50913">
            <w:pPr>
              <w:spacing w:line="300" w:lineRule="exact"/>
              <w:jc w:val="center"/>
              <w:rPr>
                <w:color w:val="000000"/>
                <w:sz w:val="20"/>
                <w:szCs w:val="20"/>
              </w:rPr>
            </w:pPr>
          </w:p>
        </w:tc>
        <w:tc>
          <w:tcPr>
            <w:tcW w:w="2231" w:type="dxa"/>
            <w:vMerge/>
            <w:vAlign w:val="center"/>
            <w:hideMark/>
          </w:tcPr>
          <w:p w14:paraId="1DC777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D50913">
            <w:pPr>
              <w:spacing w:line="300" w:lineRule="exact"/>
              <w:jc w:val="center"/>
              <w:rPr>
                <w:color w:val="000000"/>
                <w:sz w:val="20"/>
                <w:szCs w:val="20"/>
              </w:rPr>
            </w:pPr>
          </w:p>
        </w:tc>
        <w:tc>
          <w:tcPr>
            <w:tcW w:w="2231" w:type="dxa"/>
            <w:vMerge/>
            <w:vAlign w:val="center"/>
            <w:hideMark/>
          </w:tcPr>
          <w:p w14:paraId="33B31F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D50913">
            <w:pPr>
              <w:spacing w:line="300" w:lineRule="exact"/>
              <w:jc w:val="center"/>
              <w:rPr>
                <w:color w:val="000000"/>
                <w:sz w:val="20"/>
                <w:szCs w:val="20"/>
              </w:rPr>
            </w:pPr>
          </w:p>
        </w:tc>
        <w:tc>
          <w:tcPr>
            <w:tcW w:w="2231" w:type="dxa"/>
            <w:vMerge/>
            <w:vAlign w:val="center"/>
            <w:hideMark/>
          </w:tcPr>
          <w:p w14:paraId="022ADA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D50913">
            <w:pPr>
              <w:spacing w:line="300" w:lineRule="exact"/>
              <w:jc w:val="center"/>
              <w:rPr>
                <w:color w:val="000000"/>
                <w:sz w:val="20"/>
                <w:szCs w:val="20"/>
              </w:rPr>
            </w:pPr>
          </w:p>
        </w:tc>
        <w:tc>
          <w:tcPr>
            <w:tcW w:w="2231" w:type="dxa"/>
            <w:vMerge/>
            <w:vAlign w:val="center"/>
            <w:hideMark/>
          </w:tcPr>
          <w:p w14:paraId="13411C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D50913">
            <w:pPr>
              <w:spacing w:line="300" w:lineRule="exact"/>
              <w:jc w:val="center"/>
              <w:rPr>
                <w:color w:val="000000"/>
                <w:sz w:val="20"/>
                <w:szCs w:val="20"/>
              </w:rPr>
            </w:pPr>
          </w:p>
        </w:tc>
        <w:tc>
          <w:tcPr>
            <w:tcW w:w="2231" w:type="dxa"/>
            <w:vMerge/>
            <w:vAlign w:val="center"/>
            <w:hideMark/>
          </w:tcPr>
          <w:p w14:paraId="2BCC2177"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D50913">
            <w:pPr>
              <w:spacing w:line="300" w:lineRule="exact"/>
              <w:jc w:val="center"/>
              <w:rPr>
                <w:color w:val="000000"/>
                <w:sz w:val="20"/>
                <w:szCs w:val="20"/>
              </w:rPr>
            </w:pPr>
          </w:p>
        </w:tc>
        <w:tc>
          <w:tcPr>
            <w:tcW w:w="2231" w:type="dxa"/>
            <w:vMerge/>
            <w:vAlign w:val="center"/>
            <w:hideMark/>
          </w:tcPr>
          <w:p w14:paraId="5A68BD0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D50913">
            <w:pPr>
              <w:spacing w:line="300" w:lineRule="exact"/>
              <w:jc w:val="center"/>
              <w:rPr>
                <w:color w:val="000000"/>
                <w:sz w:val="20"/>
                <w:szCs w:val="20"/>
              </w:rPr>
            </w:pPr>
          </w:p>
        </w:tc>
        <w:tc>
          <w:tcPr>
            <w:tcW w:w="2231" w:type="dxa"/>
            <w:vMerge/>
            <w:vAlign w:val="center"/>
            <w:hideMark/>
          </w:tcPr>
          <w:p w14:paraId="194DE1A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D50913">
            <w:pPr>
              <w:spacing w:line="3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D50913">
            <w:pPr>
              <w:spacing w:line="3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lastRenderedPageBreak/>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7CDD08E9" w:rsidR="008D565E" w:rsidRPr="008D565E" w:rsidRDefault="004317C2" w:rsidP="00C17837">
      <w:pPr>
        <w:pStyle w:val="Heading2"/>
      </w:pPr>
      <w:bookmarkStart w:id="13" w:name="post-process-detection"/>
      <w:r w:rsidRPr="004C519C">
        <w:t>Post-</w:t>
      </w:r>
      <w:r w:rsidRPr="008E6BFA">
        <w:t>processing</w:t>
      </w:r>
      <w:r w:rsidR="00036C3A" w:rsidRPr="004C519C">
        <w:t xml:space="preserve"> detection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2BD3737"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lastRenderedPageBreak/>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lastRenderedPageBreak/>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Pr="00AD5D11" w:rsidRDefault="00001947" w:rsidP="00AD5D11">
      <w:pPr>
        <w:pStyle w:val="MainText"/>
      </w:pPr>
      <w:r w:rsidRPr="00AD5D11">
        <w:lastRenderedPageBreak/>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During the detection period, two primary modes were observed: Mode 1 operated on June 1–3 at 23:59:30 and June 7, while Mode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In contrast, Mode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lastRenderedPageBreak/>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lastRenderedPageBreak/>
        <w:t>Multi</w:t>
      </w:r>
      <w:r>
        <w:rPr>
          <w:lang w:val="en-US"/>
        </w:rPr>
        <w:t xml:space="preserve">-constellation and multi-frequency </w:t>
      </w:r>
      <w:r w:rsidR="008E6BFA">
        <w:rPr>
          <w:lang w:val="en-US"/>
        </w:rPr>
        <w:t>detection</w:t>
      </w:r>
    </w:p>
    <w:p w14:paraId="54CF4C1F" w14:textId="4BA518DE"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further supporting that flex power capability is currently limited to GPS Block IIR-M, 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6C0D4FFA"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algorithms. </w:t>
      </w:r>
      <w:r w:rsidR="007B2D21" w:rsidRPr="00CD7DE2">
        <w:t xml:space="preserve">While slightly lower than the model-based approach, AFPD-DTW achieves these results using only 10 stations, with </w:t>
      </w:r>
      <w:r w:rsidR="009A4D89" w:rsidRPr="00CD7DE2">
        <w:t xml:space="preserve">the </w:t>
      </w:r>
      <w:r w:rsidR="007B2D21" w:rsidRPr="00CD7DE2">
        <w:t>potential for further improvement by incorporating more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 xml:space="preserve">In contrast, FPD requires over 200 stations, random forest methods </w:t>
      </w:r>
      <w:r w:rsidR="003E07F5" w:rsidRPr="00CD7DE2">
        <w:lastRenderedPageBreak/>
        <w:t>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CA6EC8" w:rsidRDefault="00C02A2F" w:rsidP="00CA6EC8">
      <w:pPr>
        <w:pStyle w:val="MainText"/>
      </w:pPr>
      <w:bookmarkStart w:id="32" w:name="conclusion"/>
      <w:r w:rsidRPr="00CA6EC8">
        <w:t xml:space="preserve">In terms of detection speed, defined as the processing time for single-year, single-station, single-satellite, single-signal flex power detection, </w:t>
      </w:r>
      <w:r w:rsidRPr="00CA6EC8">
        <w:rPr>
          <w:rFonts w:hint="eastAsia"/>
        </w:rPr>
        <w:t>A</w:t>
      </w:r>
      <w:r w:rsidRPr="00CA6EC8">
        <w:t xml:space="preserve">FPD-DTW shows a 20-fold improvement over FPD based on C and Python implementation tests on a computer with Intel i7-9750H CPU @ 2.60GHz. </w:t>
      </w:r>
      <w:r w:rsidR="00484078" w:rsidRPr="00CA6EC8">
        <w:t>This acceleration enables rapid post-processing detection, which is crucial as the number of stations and satellite constellations grows</w:t>
      </w:r>
      <w:r w:rsidRPr="00CA6EC8">
        <w:t>.</w:t>
      </w:r>
    </w:p>
    <w:p w14:paraId="3158F67E" w14:textId="2D72A9F2" w:rsidR="00C02A2F" w:rsidRPr="00CA6EC8" w:rsidRDefault="00B2362E" w:rsidP="00CA6EC8">
      <w:pPr>
        <w:pStyle w:val="MainText"/>
      </w:pPr>
      <w:r w:rsidRPr="00CA6EC8">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42B4C949" w:rsidR="00A12AE7" w:rsidRPr="00CA6EC8" w:rsidRDefault="00695ADA" w:rsidP="00CA6EC8">
      <w:pPr>
        <w:pStyle w:val="MainText"/>
        <w:ind w:firstLine="0"/>
      </w:pPr>
      <w:r w:rsidRPr="00CA6EC8">
        <w:t xml:space="preserve">This paper introduced AFPD-DTW, a novel method for detecting GPS flex power events. By leveraging satellite C/N0 diurnal patterns and implementing the DTW algorithm, AFPD-DTW successfully addresses the temporal </w:t>
      </w:r>
      <w:r w:rsidRPr="00CA6EC8">
        <w:lastRenderedPageBreak/>
        <w:t xml:space="preserve">shift challenge caused by the mismatch between </w:t>
      </w:r>
      <w:r w:rsidR="009A4D89" w:rsidRPr="00CA6EC8">
        <w:t xml:space="preserve">the </w:t>
      </w:r>
      <w:r w:rsidRPr="00CA6EC8">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false positive rate: </w:t>
      </w:r>
      <w:r w:rsidR="00F675A5" w:rsidRPr="00CA6EC8">
        <w:t>0.0</w:t>
      </w:r>
      <w:r w:rsidRPr="00CA6EC8">
        <w:t>53</w:t>
      </w:r>
      <w:r w:rsidR="00F675A5" w:rsidRPr="00CA6EC8">
        <w:t>%</w:t>
      </w:r>
      <w:r w:rsidRPr="00CA6EC8">
        <w:t xml:space="preserve">). Through </w:t>
      </w:r>
      <w:r w:rsidR="009A4D89" w:rsidRPr="00CA6EC8">
        <w:t xml:space="preserve">a </w:t>
      </w:r>
      <w:r w:rsidRPr="00CA6EC8">
        <w:t>comprehensive analysis of flex power events from 2020 to 2024, the method identified several previously undetected events, demonstrating its superior detection capabilities compared to existing approaches</w:t>
      </w:r>
      <w:r w:rsidR="00A12AE7" w:rsidRPr="00CA6EC8">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(2020) Impact of flex power on GPS Block IIF differential code biases. GPS Solut 24(4):91. https://doi.org/10.1007/s10291-020-00996-x</w:t>
      </w:r>
    </w:p>
    <w:p w14:paraId="392B995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Esenbuga ÖG, Hauschild A, Steigenberger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Steigenberger P (2023) Recent flex power changes. GPS Solut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Han Q, Zhu KJ, Fu Y, Zhou T (2019) Monitoring and assessment of GPS signals during US attacking on Syria. J Navig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Meng G, Ge H, Li B (2024) A real-time detection method for GPS flex power. GPS Solut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0825093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Steigenberger P, Thölert S, Montenbruck O (2019) Flex power on GPS Block IIR-M and IIF. GPS Solut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Tang X, Yuan M, Wang F (2022) Analysis of GPS P(Y) signal power enhancement based on the observations with a semi-codeless receiver. Satell Navig 3(1):26. https://doi.org/10.1186/s43020-022-00087-x</w:t>
      </w:r>
    </w:p>
    <w:p w14:paraId="20E8CB3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Wu Z, Li S, Wan H, Ji M, Mao P, Xiong S (2024) Effects of BDS flex power on DCB estimation and PPP convergence. GPS Solut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Xiang Y, Xu Z, Gao Y, Yu W (2020) Understanding long-term variations in GPS differential code biases. GPS Solut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Yang X, Liu W, Huang J, Xiao W, Wang F (2022) Real-time monitoring of GPS flex power based on machine learning. GPS Solut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31B73" w14:textId="77777777" w:rsidR="002440FB" w:rsidRDefault="002440FB">
      <w:pPr>
        <w:ind w:firstLine="480"/>
      </w:pPr>
      <w:r>
        <w:separator/>
      </w:r>
    </w:p>
  </w:endnote>
  <w:endnote w:type="continuationSeparator" w:id="0">
    <w:p w14:paraId="57D40359" w14:textId="77777777" w:rsidR="002440FB" w:rsidRDefault="002440FB">
      <w:pPr>
        <w:ind w:firstLine="480"/>
      </w:pPr>
      <w:r>
        <w:continuationSeparator/>
      </w:r>
    </w:p>
  </w:endnote>
  <w:endnote w:type="continuationNotice" w:id="1">
    <w:p w14:paraId="1166BD83" w14:textId="77777777" w:rsidR="002440FB" w:rsidRDefault="002440F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3C147" w14:textId="77777777" w:rsidR="002440FB" w:rsidRDefault="002440FB">
      <w:pPr>
        <w:ind w:firstLine="480"/>
      </w:pPr>
      <w:r>
        <w:separator/>
      </w:r>
    </w:p>
  </w:footnote>
  <w:footnote w:type="continuationSeparator" w:id="0">
    <w:p w14:paraId="57C866B7" w14:textId="77777777" w:rsidR="002440FB" w:rsidRDefault="002440FB">
      <w:pPr>
        <w:ind w:firstLine="480"/>
      </w:pPr>
      <w:r>
        <w:continuationSeparator/>
      </w:r>
    </w:p>
  </w:footnote>
  <w:footnote w:type="continuationNotice" w:id="1">
    <w:p w14:paraId="6F1A848F" w14:textId="77777777" w:rsidR="002440FB" w:rsidRDefault="002440F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A26"/>
    <w:rsid w:val="00064D07"/>
    <w:rsid w:val="000651B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4D5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857"/>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67F2"/>
    <w:rsid w:val="002D781A"/>
    <w:rsid w:val="002E035F"/>
    <w:rsid w:val="002E223E"/>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587B"/>
    <w:rsid w:val="003A6948"/>
    <w:rsid w:val="003A6E39"/>
    <w:rsid w:val="003A71A7"/>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D58"/>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88A"/>
    <w:rsid w:val="005B6E1E"/>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776FD"/>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269"/>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AAB"/>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1F30"/>
    <w:rsid w:val="0075217D"/>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E48"/>
    <w:rsid w:val="0076438E"/>
    <w:rsid w:val="0076486F"/>
    <w:rsid w:val="00764EC4"/>
    <w:rsid w:val="00765059"/>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3A62"/>
    <w:rsid w:val="00B0452F"/>
    <w:rsid w:val="00B04A9D"/>
    <w:rsid w:val="00B04C0F"/>
    <w:rsid w:val="00B04E3B"/>
    <w:rsid w:val="00B04F4D"/>
    <w:rsid w:val="00B05410"/>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1FBA"/>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471EE"/>
    <w:rsid w:val="00E50019"/>
    <w:rsid w:val="00E501E2"/>
    <w:rsid w:val="00E503D5"/>
    <w:rsid w:val="00E51B08"/>
    <w:rsid w:val="00E51EC8"/>
    <w:rsid w:val="00E521A2"/>
    <w:rsid w:val="00E5288D"/>
    <w:rsid w:val="00E53235"/>
    <w:rsid w:val="00E53930"/>
    <w:rsid w:val="00E545D9"/>
    <w:rsid w:val="00E54B76"/>
    <w:rsid w:val="00E56E7F"/>
    <w:rsid w:val="00E57586"/>
    <w:rsid w:val="00E5795A"/>
    <w:rsid w:val="00E57BE7"/>
    <w:rsid w:val="00E57C38"/>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16350</Words>
  <Characters>93201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